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0A45" w14:paraId="507EF70A" w14:textId="77777777" w:rsidTr="0067328F">
        <w:tc>
          <w:tcPr>
            <w:tcW w:w="9576" w:type="dxa"/>
          </w:tcPr>
          <w:p w14:paraId="76D124D5" w14:textId="77777777" w:rsidR="009D0A45" w:rsidRPr="009D0A45" w:rsidRDefault="009D0A45" w:rsidP="009D0A45">
            <w:r>
              <w:rPr>
                <w:b/>
              </w:rPr>
              <w:t xml:space="preserve">Course(s): </w:t>
            </w:r>
            <w:r w:rsidR="001A13EC">
              <w:t>Science 1206</w:t>
            </w:r>
          </w:p>
        </w:tc>
      </w:tr>
      <w:tr w:rsidR="00992464" w14:paraId="5AD3DE8C" w14:textId="77777777" w:rsidTr="009D0A45">
        <w:tc>
          <w:tcPr>
            <w:tcW w:w="9576" w:type="dxa"/>
          </w:tcPr>
          <w:p w14:paraId="31D8179F" w14:textId="77777777" w:rsidR="00992464" w:rsidRDefault="00992464" w:rsidP="009D0A45">
            <w:pPr>
              <w:rPr>
                <w:b/>
              </w:rPr>
            </w:pPr>
            <w:r>
              <w:rPr>
                <w:b/>
              </w:rPr>
              <w:t>Curriculum Expectations:</w:t>
            </w:r>
          </w:p>
          <w:p w14:paraId="4A0EF232" w14:textId="77777777" w:rsidR="00992464" w:rsidRDefault="00992464" w:rsidP="009D0A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9C033A">
              <w:rPr>
                <w:rFonts w:cs="Times New Roman"/>
              </w:rPr>
              <w:t>118-1 compare the risks and</w:t>
            </w:r>
            <w:r>
              <w:rPr>
                <w:rFonts w:cs="Times New Roman"/>
              </w:rPr>
              <w:t xml:space="preserve"> </w:t>
            </w:r>
            <w:r w:rsidRPr="009C033A">
              <w:rPr>
                <w:rFonts w:cs="Times New Roman"/>
              </w:rPr>
              <w:t>benefits to society and the</w:t>
            </w:r>
            <w:r>
              <w:rPr>
                <w:rFonts w:cs="Times New Roman"/>
              </w:rPr>
              <w:t xml:space="preserve"> </w:t>
            </w:r>
            <w:r w:rsidRPr="009C033A">
              <w:rPr>
                <w:rFonts w:cs="Times New Roman"/>
              </w:rPr>
              <w:t>environment of applying scientific</w:t>
            </w:r>
            <w:r>
              <w:rPr>
                <w:rFonts w:cs="Times New Roman"/>
              </w:rPr>
              <w:t xml:space="preserve"> </w:t>
            </w:r>
            <w:r w:rsidRPr="009C033A">
              <w:rPr>
                <w:rFonts w:cs="Times New Roman"/>
              </w:rPr>
              <w:t>knowledge or introducing a new</w:t>
            </w:r>
            <w:r>
              <w:rPr>
                <w:rFonts w:cs="Times New Roman"/>
              </w:rPr>
              <w:t xml:space="preserve"> </w:t>
            </w:r>
            <w:r w:rsidRPr="009C033A">
              <w:rPr>
                <w:rFonts w:cs="Times New Roman"/>
              </w:rPr>
              <w:t>technology</w:t>
            </w:r>
            <w:r>
              <w:rPr>
                <w:rFonts w:cs="Times New Roman"/>
              </w:rPr>
              <w:t xml:space="preserve"> </w:t>
            </w:r>
          </w:p>
          <w:p w14:paraId="3A6E5449" w14:textId="77777777" w:rsidR="00992464" w:rsidRDefault="00992464" w:rsidP="009D0A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BA5233">
              <w:rPr>
                <w:rFonts w:cs="Times New Roman"/>
              </w:rPr>
              <w:t>118-9 propose a course of action on</w:t>
            </w:r>
            <w:r>
              <w:rPr>
                <w:rFonts w:cs="Times New Roman"/>
              </w:rPr>
              <w:t xml:space="preserve"> </w:t>
            </w:r>
            <w:r w:rsidRPr="00BA5233">
              <w:rPr>
                <w:rFonts w:cs="Times New Roman"/>
              </w:rPr>
              <w:t>social issues related to science and</w:t>
            </w:r>
            <w:r>
              <w:rPr>
                <w:rFonts w:cs="Times New Roman"/>
              </w:rPr>
              <w:t xml:space="preserve"> </w:t>
            </w:r>
            <w:r w:rsidRPr="00BA5233">
              <w:rPr>
                <w:rFonts w:cs="Times New Roman"/>
              </w:rPr>
              <w:t>technology, taking into account</w:t>
            </w:r>
            <w:r>
              <w:rPr>
                <w:rFonts w:cs="Times New Roman"/>
              </w:rPr>
              <w:t xml:space="preserve"> </w:t>
            </w:r>
            <w:r w:rsidRPr="00BA5233">
              <w:rPr>
                <w:rFonts w:cs="Times New Roman"/>
              </w:rPr>
              <w:t>human and environmental needs</w:t>
            </w:r>
          </w:p>
          <w:p w14:paraId="35A4527B" w14:textId="77777777" w:rsidR="00992464" w:rsidRDefault="00992464" w:rsidP="009D0A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BA5233">
              <w:rPr>
                <w:rFonts w:cs="Times New Roman"/>
              </w:rPr>
              <w:t>331-6 analyse the impact of external factors on an ecosystem</w:t>
            </w:r>
            <w:r w:rsidR="009D0A45">
              <w:rPr>
                <w:rFonts w:cs="Times New Roman"/>
              </w:rPr>
              <w:t xml:space="preserve"> </w:t>
            </w:r>
          </w:p>
          <w:p w14:paraId="7BFD09FA" w14:textId="77777777" w:rsidR="00992464" w:rsidRDefault="001A13EC" w:rsidP="009D0A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114-1 </w:t>
            </w:r>
            <w:r w:rsidR="00992464" w:rsidRPr="00BA5233">
              <w:rPr>
                <w:rFonts w:cs="Times New Roman"/>
              </w:rPr>
              <w:t>explain how a paradigm shift can change scientific world views in understanding sustainability. Explore and develop a concept of sustainability in relation to a natural resource industry (e.g., forestry, fishery, agriculture, aquaculture, min</w:t>
            </w:r>
            <w:r w:rsidR="009D0A45">
              <w:rPr>
                <w:rFonts w:cs="Times New Roman"/>
              </w:rPr>
              <w:t xml:space="preserve">ing, tourism or others) </w:t>
            </w:r>
          </w:p>
          <w:p w14:paraId="3574BF18" w14:textId="77777777" w:rsidR="009D0A45" w:rsidRPr="00992464" w:rsidRDefault="009D0A45" w:rsidP="009D0A45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</w:rPr>
            </w:pPr>
            <w:r w:rsidRPr="009D0A45">
              <w:rPr>
                <w:rFonts w:cs="Times New Roman"/>
                <w:sz w:val="18"/>
                <w:szCs w:val="18"/>
              </w:rPr>
              <w:t>(</w:t>
            </w:r>
            <w:hyperlink r:id="rId8" w:history="1">
              <w:r w:rsidRPr="009D0A45">
                <w:rPr>
                  <w:rStyle w:val="Hyperlink"/>
                  <w:rFonts w:cs="Times New Roman"/>
                  <w:sz w:val="18"/>
                  <w:szCs w:val="18"/>
                </w:rPr>
                <w:t>http://www.ed.gov.nl.ca/edu/k12/curriculum/guides/science/sci1206/unit1.PDF</w:t>
              </w:r>
            </w:hyperlink>
            <w:r w:rsidRPr="009D0A45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992464" w14:paraId="5C847008" w14:textId="77777777" w:rsidTr="009D0A45">
        <w:tc>
          <w:tcPr>
            <w:tcW w:w="9576" w:type="dxa"/>
          </w:tcPr>
          <w:p w14:paraId="0D0D911B" w14:textId="77777777" w:rsidR="00992464" w:rsidRDefault="00992464" w:rsidP="009D0A45">
            <w:pPr>
              <w:rPr>
                <w:b/>
              </w:rPr>
            </w:pPr>
            <w:r>
              <w:rPr>
                <w:b/>
              </w:rPr>
              <w:t xml:space="preserve">Overview: </w:t>
            </w:r>
            <w:r>
              <w:t>Students will start by completing the “</w:t>
            </w:r>
            <w:r w:rsidR="009D0A45">
              <w:t xml:space="preserve">Fishing in Bonne Bay” activity. </w:t>
            </w:r>
            <w:r>
              <w:t xml:space="preserve">This activity will introduce the idea of sustainable resource harvesting by modelling unsustainable fishing practices and the effect of more efficient technology on the fish populations. </w:t>
            </w:r>
          </w:p>
        </w:tc>
      </w:tr>
      <w:tr w:rsidR="00377B54" w14:paraId="535FFCF4" w14:textId="77777777" w:rsidTr="009D0A45">
        <w:tc>
          <w:tcPr>
            <w:tcW w:w="9576" w:type="dxa"/>
          </w:tcPr>
          <w:p w14:paraId="5FCAB7B9" w14:textId="77777777" w:rsidR="00377B54" w:rsidRPr="00CB7921" w:rsidRDefault="00377B54" w:rsidP="009D0A45">
            <w:pPr>
              <w:rPr>
                <w:b/>
              </w:rPr>
            </w:pPr>
            <w:r w:rsidRPr="00CB7921">
              <w:rPr>
                <w:b/>
              </w:rPr>
              <w:t>Materials:</w:t>
            </w:r>
          </w:p>
          <w:p w14:paraId="7EF725B8" w14:textId="77777777" w:rsidR="00377B54" w:rsidRDefault="009D0A45" w:rsidP="00EC4998">
            <w:pPr>
              <w:pStyle w:val="ListParagraph"/>
              <w:numPr>
                <w:ilvl w:val="0"/>
                <w:numId w:val="1"/>
              </w:numPr>
            </w:pPr>
            <w:r>
              <w:t xml:space="preserve">SMARTBoard </w:t>
            </w:r>
            <w:r w:rsidR="00377B54">
              <w:t>Fishing in Bonne Bay</w:t>
            </w:r>
            <w:r w:rsidR="00EC4998">
              <w:t xml:space="preserve">                      </w:t>
            </w:r>
            <w:r w:rsidR="00EC4998">
              <w:sym w:font="Symbol" w:char="F0B7"/>
            </w:r>
            <w:r w:rsidR="00EC4998">
              <w:t xml:space="preserve">     </w:t>
            </w:r>
            <w:r>
              <w:t xml:space="preserve">Fishing Record </w:t>
            </w:r>
            <w:r w:rsidR="00377B54">
              <w:t xml:space="preserve">Sheet (1 per student) </w:t>
            </w:r>
          </w:p>
          <w:p w14:paraId="6A6F0B29" w14:textId="77777777" w:rsidR="009D0A45" w:rsidRDefault="00377B54" w:rsidP="00EC4998">
            <w:pPr>
              <w:pStyle w:val="ListParagraph"/>
              <w:numPr>
                <w:ilvl w:val="0"/>
                <w:numId w:val="1"/>
              </w:numPr>
            </w:pPr>
            <w:r>
              <w:t>Plastic bowls (one for 4-5 students)</w:t>
            </w:r>
            <w:r w:rsidR="00EC4998">
              <w:t xml:space="preserve">                    </w:t>
            </w:r>
            <w:r w:rsidR="00EC4998">
              <w:sym w:font="Symbol" w:char="F0B7"/>
            </w:r>
            <w:r w:rsidR="00EC4998">
              <w:t xml:space="preserve">     </w:t>
            </w:r>
            <w:r>
              <w:t xml:space="preserve">“Fish” (candies ie. chocolate with candy </w:t>
            </w:r>
          </w:p>
          <w:p w14:paraId="410C25E5" w14:textId="77777777" w:rsidR="00EC4998" w:rsidRDefault="00EC4998" w:rsidP="00EC4998">
            <w:pPr>
              <w:pStyle w:val="ListParagraph"/>
              <w:numPr>
                <w:ilvl w:val="0"/>
                <w:numId w:val="1"/>
              </w:numPr>
            </w:pPr>
            <w:r>
              <w:t xml:space="preserve">Stop watch                                                                       coating, macaroni noodles, etc.)                                                                                   </w:t>
            </w:r>
          </w:p>
          <w:p w14:paraId="0A16A1A7" w14:textId="77777777" w:rsidR="00EC4998" w:rsidRDefault="00EC4998" w:rsidP="00EC4998">
            <w:pPr>
              <w:pStyle w:val="ListParagraph"/>
              <w:numPr>
                <w:ilvl w:val="0"/>
                <w:numId w:val="1"/>
              </w:numPr>
            </w:pPr>
            <w:r>
              <w:t>Straws (one per student)                                               *Depending on food allergies</w:t>
            </w:r>
          </w:p>
          <w:p w14:paraId="214446E1" w14:textId="77777777" w:rsidR="00377B54" w:rsidRPr="00D31C26" w:rsidRDefault="00EC4998" w:rsidP="00EC4998">
            <w:pPr>
              <w:pStyle w:val="ListParagraph"/>
              <w:numPr>
                <w:ilvl w:val="0"/>
                <w:numId w:val="1"/>
              </w:numPr>
            </w:pPr>
            <w:r>
              <w:t>Spoons (one per group</w:t>
            </w:r>
            <w:r w:rsidR="00377B54">
              <w:t xml:space="preserve"> </w:t>
            </w:r>
          </w:p>
        </w:tc>
      </w:tr>
      <w:tr w:rsidR="00EC69E3" w14:paraId="2BB001E8" w14:textId="77777777" w:rsidTr="009D0A45">
        <w:tc>
          <w:tcPr>
            <w:tcW w:w="9576" w:type="dxa"/>
          </w:tcPr>
          <w:p w14:paraId="51FD9A23" w14:textId="1D441C35" w:rsidR="00F54E26" w:rsidRPr="00F54E26" w:rsidRDefault="00EC69E3" w:rsidP="00F54E26">
            <w:pPr>
              <w:shd w:val="clear" w:color="auto" w:fill="FFFFFF"/>
              <w:spacing w:line="31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b/>
              </w:rPr>
              <w:t xml:space="preserve">CURRA Reference: </w:t>
            </w:r>
            <w:r>
              <w:t>For more information on this topic, and effor</w:t>
            </w:r>
            <w:r w:rsidR="00881470">
              <w:t xml:space="preserve">ts regarding fisheries recovery </w:t>
            </w:r>
            <w:r w:rsidR="00F54E26">
              <w:t>see</w:t>
            </w:r>
          </w:p>
          <w:p w14:paraId="247806F7" w14:textId="30230E19" w:rsidR="00EC69E3" w:rsidRPr="00F54E26" w:rsidRDefault="00F54E26" w:rsidP="00F54E26">
            <w:pPr>
              <w:shd w:val="clear" w:color="auto" w:fill="FFFFFF"/>
              <w:spacing w:line="312" w:lineRule="atLeast"/>
              <w:outlineLvl w:val="3"/>
              <w:rPr>
                <w:rFonts w:eastAsia="Times New Roman" w:cs="Times New Roman"/>
                <w:lang w:eastAsia="en-CA"/>
              </w:rPr>
            </w:pPr>
            <w:r w:rsidRPr="00F54E26">
              <w:rPr>
                <w:rFonts w:eastAsia="Times New Roman" w:cs="Times New Roman"/>
                <w:lang w:eastAsia="en-CA"/>
              </w:rPr>
              <w:t>Globalization, Fisheries, and Recovery</w:t>
            </w:r>
            <w:r>
              <w:rPr>
                <w:rFonts w:eastAsia="Times New Roman" w:cs="Times New Roman"/>
                <w:lang w:eastAsia="en-CA"/>
              </w:rPr>
              <w:t>-</w:t>
            </w:r>
            <w:r w:rsidRPr="00F54E2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A presentation by Martha MacDonald, Peter Sinclair, and Deatra Walsh. </w:t>
            </w:r>
            <w:hyperlink r:id="rId9" w:history="1">
              <w:r w:rsidR="00881470" w:rsidRPr="00B71E0C">
                <w:rPr>
                  <w:rStyle w:val="Hyperlink"/>
                </w:rPr>
                <w:t>http://www.curra.ca/presentations.htm</w:t>
              </w:r>
            </w:hyperlink>
            <w:r>
              <w:rPr>
                <w:rFonts w:eastAsia="Times New Roman" w:cs="Times New Roman"/>
                <w:lang w:eastAsia="en-CA"/>
              </w:rPr>
              <w:t xml:space="preserve"> and </w:t>
            </w:r>
            <w:r w:rsidR="00220C61">
              <w:t xml:space="preserve"> “Marine wildlife of the Gros Morne national park regi</w:t>
            </w:r>
            <w:r>
              <w:t xml:space="preserve">on” – Joeseph S. Wroblewski </w:t>
            </w:r>
          </w:p>
        </w:tc>
      </w:tr>
      <w:tr w:rsidR="002D7762" w14:paraId="42167BD5" w14:textId="77777777" w:rsidTr="009D0A45">
        <w:tc>
          <w:tcPr>
            <w:tcW w:w="9576" w:type="dxa"/>
          </w:tcPr>
          <w:p w14:paraId="1A45E266" w14:textId="77777777" w:rsidR="002D7762" w:rsidRPr="00EE11D7" w:rsidRDefault="002D7762" w:rsidP="009D0A45">
            <w:pPr>
              <w:rPr>
                <w:b/>
              </w:rPr>
            </w:pPr>
            <w:r w:rsidRPr="00EE11D7">
              <w:rPr>
                <w:b/>
              </w:rPr>
              <w:t>Lesson Details:</w:t>
            </w:r>
          </w:p>
          <w:p w14:paraId="060B109D" w14:textId="77777777" w:rsidR="002D7762" w:rsidRPr="002F4133" w:rsidRDefault="002F4133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Split class into groups 5 groups</w:t>
            </w:r>
            <w:r w:rsidR="008A77D3">
              <w:t xml:space="preserve"> (5 fishing locations in Bonne Bay)</w:t>
            </w:r>
          </w:p>
          <w:p w14:paraId="71891B4B" w14:textId="77777777" w:rsidR="002F4133" w:rsidRPr="008A77D3" w:rsidRDefault="002F4133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Give each group </w:t>
            </w:r>
            <w:r w:rsidR="008A77D3">
              <w:t xml:space="preserve">a bowl with 20 “fish” </w:t>
            </w:r>
          </w:p>
          <w:p w14:paraId="33E8F84B" w14:textId="77777777" w:rsidR="008A77D3" w:rsidRPr="007E1879" w:rsidRDefault="007E1879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Each student will receive </w:t>
            </w:r>
            <w:r w:rsidR="00A55A84">
              <w:t xml:space="preserve">a Fish Record Sheet and </w:t>
            </w:r>
            <w:r>
              <w:t xml:space="preserve">a straw to “catch” fish with </w:t>
            </w:r>
            <w:r w:rsidR="00A55A84">
              <w:t>(</w:t>
            </w:r>
            <w:r>
              <w:t>by sucking on one end</w:t>
            </w:r>
            <w:r w:rsidR="00A55A84">
              <w:t>)</w:t>
            </w:r>
          </w:p>
          <w:p w14:paraId="0B8A2C64" w14:textId="77777777" w:rsidR="007E1879" w:rsidRPr="00A55A84" w:rsidRDefault="00A55A84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Seasons will be timed by the teacher (approximately 20 seconds)</w:t>
            </w:r>
          </w:p>
          <w:p w14:paraId="4ED5B552" w14:textId="77777777" w:rsidR="00A55A84" w:rsidRPr="00461109" w:rsidRDefault="00A55A84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Students will record their catch, </w:t>
            </w:r>
            <w:r w:rsidR="00F03C73">
              <w:t xml:space="preserve">make notes on the season, </w:t>
            </w:r>
            <w:r>
              <w:t>and need at least two fish to survive until the next season</w:t>
            </w:r>
          </w:p>
          <w:p w14:paraId="7799DF15" w14:textId="77777777" w:rsidR="00461109" w:rsidRPr="00F03C73" w:rsidRDefault="00461109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Remaining fish will “reproduce” one “fish” each season. Add one candy per fish after each round</w:t>
            </w:r>
          </w:p>
          <w:p w14:paraId="65100FBA" w14:textId="77777777" w:rsidR="00F03C73" w:rsidRPr="00A55A84" w:rsidRDefault="00F03C73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Record student results on SMARTBoard (optional)</w:t>
            </w:r>
          </w:p>
          <w:p w14:paraId="34385060" w14:textId="77777777" w:rsidR="00A55A84" w:rsidRPr="00F03C73" w:rsidRDefault="00F03C73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After the first two seasons, give one student from each group a spoon to represent increasing technology</w:t>
            </w:r>
          </w:p>
          <w:p w14:paraId="6F704BBD" w14:textId="77777777" w:rsidR="00F03C73" w:rsidRPr="002F4133" w:rsidRDefault="00F03C73" w:rsidP="009D0A4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Once data is collected, follow discussion questions as a class</w:t>
            </w:r>
          </w:p>
        </w:tc>
      </w:tr>
      <w:tr w:rsidR="00992464" w14:paraId="4762C712" w14:textId="77777777" w:rsidTr="009D0A45">
        <w:tc>
          <w:tcPr>
            <w:tcW w:w="9576" w:type="dxa"/>
          </w:tcPr>
          <w:p w14:paraId="63458068" w14:textId="5266D9DB" w:rsidR="00992464" w:rsidRPr="009171A4" w:rsidRDefault="00992464" w:rsidP="009D0A45">
            <w:pPr>
              <w:rPr>
                <w:b/>
              </w:rPr>
            </w:pPr>
            <w:r>
              <w:rPr>
                <w:b/>
              </w:rPr>
              <w:t>Assessment</w:t>
            </w:r>
            <w:r w:rsidR="009171A4">
              <w:rPr>
                <w:b/>
              </w:rPr>
              <w:t>-</w:t>
            </w:r>
            <w:r w:rsidRPr="009171A4">
              <w:rPr>
                <w:b/>
              </w:rPr>
              <w:t>Discussion Questions</w:t>
            </w:r>
            <w:r>
              <w:t>:</w:t>
            </w:r>
          </w:p>
          <w:p w14:paraId="7C5C0B31" w14:textId="77777777" w:rsidR="00992464" w:rsidRDefault="00992464" w:rsidP="009D0A45">
            <w:pPr>
              <w:pStyle w:val="ListParagraph"/>
              <w:numPr>
                <w:ilvl w:val="0"/>
                <w:numId w:val="3"/>
              </w:numPr>
            </w:pPr>
            <w:r>
              <w:t>How did you feel when (if) your fish stocks began to run out?</w:t>
            </w:r>
          </w:p>
          <w:p w14:paraId="722648D7" w14:textId="77777777" w:rsidR="00992464" w:rsidRDefault="00992464" w:rsidP="009D0A45">
            <w:pPr>
              <w:pStyle w:val="ListParagraph"/>
              <w:numPr>
                <w:ilvl w:val="0"/>
                <w:numId w:val="3"/>
              </w:numPr>
            </w:pPr>
            <w:r>
              <w:t>Define sustainability. Ask students if this activity demonstrated sustainable fishing practices.</w:t>
            </w:r>
          </w:p>
          <w:p w14:paraId="41C54BA1" w14:textId="77777777" w:rsidR="00992464" w:rsidRDefault="00992464" w:rsidP="009D0A45">
            <w:pPr>
              <w:pStyle w:val="ListParagraph"/>
              <w:numPr>
                <w:ilvl w:val="0"/>
                <w:numId w:val="3"/>
              </w:numPr>
            </w:pPr>
            <w:r>
              <w:t>What are the impacts of unsustainable fishing practices?</w:t>
            </w:r>
          </w:p>
          <w:p w14:paraId="48F32C24" w14:textId="77777777" w:rsidR="00992464" w:rsidRPr="00881470" w:rsidRDefault="00D643EB" w:rsidP="00D643EB">
            <w:pPr>
              <w:pStyle w:val="ListParagraph"/>
              <w:numPr>
                <w:ilvl w:val="0"/>
                <w:numId w:val="3"/>
              </w:numPr>
            </w:pPr>
            <w:r w:rsidRPr="00881470">
              <w:t>Define stewardship. Explain how this concept relates to responsibly sharing</w:t>
            </w:r>
            <w:r w:rsidR="00992464" w:rsidRPr="00881470">
              <w:t xml:space="preserve"> res</w:t>
            </w:r>
            <w:r w:rsidRPr="00881470">
              <w:t>ources.</w:t>
            </w:r>
          </w:p>
          <w:p w14:paraId="33F133F3" w14:textId="77777777" w:rsidR="00C47F14" w:rsidRPr="00992464" w:rsidRDefault="00992464" w:rsidP="009D0A45">
            <w:pPr>
              <w:pStyle w:val="ListParagraph"/>
              <w:numPr>
                <w:ilvl w:val="0"/>
                <w:numId w:val="3"/>
              </w:numPr>
            </w:pPr>
            <w:r>
              <w:t xml:space="preserve">How could you change your fishing strategy to ensure that practices were sustainable? </w:t>
            </w:r>
          </w:p>
        </w:tc>
      </w:tr>
    </w:tbl>
    <w:p w14:paraId="03902AF2" w14:textId="009268D5" w:rsidR="0085743C" w:rsidRDefault="0085743C" w:rsidP="008574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Fishing Record Sheet</w:t>
      </w:r>
      <w:bookmarkStart w:id="0" w:name="_GoBack"/>
      <w:bookmarkEnd w:id="0"/>
    </w:p>
    <w:p w14:paraId="4CCC3E69" w14:textId="77777777" w:rsidR="0085743C" w:rsidRDefault="0085743C" w:rsidP="0085743C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48E0F0" wp14:editId="2CEA4EA0">
                <wp:simplePos x="0" y="0"/>
                <wp:positionH relativeFrom="column">
                  <wp:posOffset>876299</wp:posOffset>
                </wp:positionH>
                <wp:positionV relativeFrom="paragraph">
                  <wp:posOffset>162560</wp:posOffset>
                </wp:positionV>
                <wp:extent cx="4638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46A99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2.8pt" to="434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" strokecolor="#4a7ebb"/>
            </w:pict>
          </mc:Fallback>
        </mc:AlternateContent>
      </w:r>
      <w:r>
        <w:t>Fisher’s Name:</w:t>
      </w:r>
    </w:p>
    <w:p w14:paraId="52831A56" w14:textId="77777777" w:rsidR="0085743C" w:rsidRDefault="0085743C" w:rsidP="0085743C">
      <w:pPr>
        <w:spacing w:after="0"/>
      </w:pPr>
    </w:p>
    <w:p w14:paraId="0A962711" w14:textId="77777777" w:rsidR="0085743C" w:rsidRDefault="0085743C" w:rsidP="0085743C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71822" wp14:editId="5DC5992E">
                <wp:simplePos x="0" y="0"/>
                <wp:positionH relativeFrom="column">
                  <wp:posOffset>981075</wp:posOffset>
                </wp:positionH>
                <wp:positionV relativeFrom="paragraph">
                  <wp:posOffset>144780</wp:posOffset>
                </wp:positionV>
                <wp:extent cx="4533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3DAEC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11.4pt" to="434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" strokecolor="#4a7ebb"/>
            </w:pict>
          </mc:Fallback>
        </mc:AlternateContent>
      </w:r>
      <w:r>
        <w:t xml:space="preserve">Fishing Location: </w:t>
      </w:r>
    </w:p>
    <w:p w14:paraId="3D657824" w14:textId="77777777" w:rsidR="0085743C" w:rsidRDefault="0085743C" w:rsidP="0085743C">
      <w:pPr>
        <w:spacing w:after="0"/>
      </w:pPr>
    </w:p>
    <w:p w14:paraId="78BEC30F" w14:textId="77777777" w:rsidR="0085743C" w:rsidRDefault="0085743C" w:rsidP="008574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743C" w14:paraId="1C088E90" w14:textId="77777777" w:rsidTr="003F5FAC">
        <w:trPr>
          <w:trHeight w:val="400"/>
        </w:trPr>
        <w:tc>
          <w:tcPr>
            <w:tcW w:w="3192" w:type="dxa"/>
            <w:vMerge w:val="restart"/>
            <w:vAlign w:val="bottom"/>
          </w:tcPr>
          <w:p w14:paraId="494E0950" w14:textId="77777777" w:rsidR="0085743C" w:rsidRPr="00891170" w:rsidRDefault="0085743C" w:rsidP="003F5FAC">
            <w:pPr>
              <w:rPr>
                <w:sz w:val="40"/>
                <w:szCs w:val="40"/>
              </w:rPr>
            </w:pPr>
            <w:r w:rsidRPr="00891170">
              <w:rPr>
                <w:sz w:val="40"/>
                <w:szCs w:val="40"/>
              </w:rPr>
              <w:t>Season One</w:t>
            </w:r>
          </w:p>
          <w:p w14:paraId="51C82D6F" w14:textId="77777777" w:rsidR="0085743C" w:rsidRDefault="0085743C" w:rsidP="003F5FAC">
            <w:pPr>
              <w:jc w:val="center"/>
            </w:pPr>
          </w:p>
        </w:tc>
        <w:tc>
          <w:tcPr>
            <w:tcW w:w="3192" w:type="dxa"/>
          </w:tcPr>
          <w:p w14:paraId="0783E055" w14:textId="77777777" w:rsidR="0085743C" w:rsidRDefault="0085743C" w:rsidP="003F5FAC">
            <w:r>
              <w:t>Catch</w:t>
            </w:r>
          </w:p>
        </w:tc>
        <w:tc>
          <w:tcPr>
            <w:tcW w:w="3192" w:type="dxa"/>
          </w:tcPr>
          <w:p w14:paraId="6941CAA8" w14:textId="77777777" w:rsidR="0085743C" w:rsidRDefault="0085743C" w:rsidP="003F5FAC"/>
        </w:tc>
      </w:tr>
      <w:tr w:rsidR="0085743C" w14:paraId="5ECAD05C" w14:textId="77777777" w:rsidTr="003F5FAC">
        <w:tc>
          <w:tcPr>
            <w:tcW w:w="3192" w:type="dxa"/>
            <w:vMerge/>
          </w:tcPr>
          <w:p w14:paraId="0F51E3A3" w14:textId="77777777" w:rsidR="0085743C" w:rsidRDefault="0085743C" w:rsidP="003F5FAC"/>
        </w:tc>
        <w:tc>
          <w:tcPr>
            <w:tcW w:w="3192" w:type="dxa"/>
          </w:tcPr>
          <w:p w14:paraId="539695F7" w14:textId="77777777" w:rsidR="0085743C" w:rsidRDefault="0085743C" w:rsidP="003F5FAC">
            <w:r>
              <w:t>Remaining Fish</w:t>
            </w:r>
          </w:p>
        </w:tc>
        <w:tc>
          <w:tcPr>
            <w:tcW w:w="3192" w:type="dxa"/>
          </w:tcPr>
          <w:p w14:paraId="530415F2" w14:textId="77777777" w:rsidR="0085743C" w:rsidRDefault="0085743C" w:rsidP="003F5FAC"/>
        </w:tc>
      </w:tr>
    </w:tbl>
    <w:p w14:paraId="25A84565" w14:textId="77777777" w:rsidR="0085743C" w:rsidRDefault="0085743C" w:rsidP="0085743C">
      <w:pPr>
        <w:spacing w:after="0"/>
      </w:pPr>
    </w:p>
    <w:p w14:paraId="437B03B7" w14:textId="77777777" w:rsidR="0085743C" w:rsidRDefault="0085743C" w:rsidP="0085743C">
      <w:pPr>
        <w:spacing w:after="0"/>
      </w:pPr>
      <w:r>
        <w:t>Notes:</w:t>
      </w:r>
    </w:p>
    <w:p w14:paraId="614A5D05" w14:textId="77777777" w:rsidR="0085743C" w:rsidRDefault="0085743C" w:rsidP="0085743C">
      <w:pPr>
        <w:spacing w:after="0"/>
      </w:pPr>
    </w:p>
    <w:p w14:paraId="7CDF64FA" w14:textId="77777777" w:rsidR="0085743C" w:rsidRDefault="0085743C" w:rsidP="0085743C">
      <w:pPr>
        <w:spacing w:after="0"/>
      </w:pPr>
    </w:p>
    <w:p w14:paraId="2131B4B2" w14:textId="77777777" w:rsidR="0085743C" w:rsidRDefault="0085743C" w:rsidP="008574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743C" w14:paraId="6D3846CE" w14:textId="77777777" w:rsidTr="003F5FAC">
        <w:trPr>
          <w:trHeight w:val="373"/>
        </w:trPr>
        <w:tc>
          <w:tcPr>
            <w:tcW w:w="3192" w:type="dxa"/>
            <w:vMerge w:val="restart"/>
          </w:tcPr>
          <w:p w14:paraId="0AEDDD78" w14:textId="77777777" w:rsidR="0085743C" w:rsidRPr="008D68D5" w:rsidRDefault="0085743C" w:rsidP="003F5FAC">
            <w:pPr>
              <w:rPr>
                <w:sz w:val="40"/>
                <w:szCs w:val="40"/>
              </w:rPr>
            </w:pPr>
            <w:r w:rsidRPr="008D68D5">
              <w:rPr>
                <w:sz w:val="40"/>
                <w:szCs w:val="40"/>
              </w:rPr>
              <w:t>Season Two</w:t>
            </w:r>
          </w:p>
          <w:p w14:paraId="6255FF09" w14:textId="77777777" w:rsidR="0085743C" w:rsidRDefault="0085743C" w:rsidP="003F5FAC"/>
        </w:tc>
        <w:tc>
          <w:tcPr>
            <w:tcW w:w="3192" w:type="dxa"/>
          </w:tcPr>
          <w:p w14:paraId="1825F030" w14:textId="77777777" w:rsidR="0085743C" w:rsidRDefault="0085743C" w:rsidP="003F5FAC">
            <w:r>
              <w:t>Catch</w:t>
            </w:r>
          </w:p>
        </w:tc>
        <w:tc>
          <w:tcPr>
            <w:tcW w:w="3192" w:type="dxa"/>
          </w:tcPr>
          <w:p w14:paraId="027C14D8" w14:textId="77777777" w:rsidR="0085743C" w:rsidRDefault="0085743C" w:rsidP="003F5FAC"/>
        </w:tc>
      </w:tr>
      <w:tr w:rsidR="0085743C" w14:paraId="4EF44D0E" w14:textId="77777777" w:rsidTr="003F5FAC">
        <w:tc>
          <w:tcPr>
            <w:tcW w:w="3192" w:type="dxa"/>
            <w:vMerge/>
          </w:tcPr>
          <w:p w14:paraId="230150B7" w14:textId="77777777" w:rsidR="0085743C" w:rsidRDefault="0085743C" w:rsidP="003F5FAC"/>
        </w:tc>
        <w:tc>
          <w:tcPr>
            <w:tcW w:w="3192" w:type="dxa"/>
          </w:tcPr>
          <w:p w14:paraId="04823B0D" w14:textId="77777777" w:rsidR="0085743C" w:rsidRDefault="0085743C" w:rsidP="003F5FAC">
            <w:r>
              <w:t>Remaining Fish</w:t>
            </w:r>
          </w:p>
        </w:tc>
        <w:tc>
          <w:tcPr>
            <w:tcW w:w="3192" w:type="dxa"/>
          </w:tcPr>
          <w:p w14:paraId="1320088A" w14:textId="77777777" w:rsidR="0085743C" w:rsidRDefault="0085743C" w:rsidP="003F5FAC"/>
        </w:tc>
      </w:tr>
    </w:tbl>
    <w:p w14:paraId="0D3CF166" w14:textId="77777777" w:rsidR="0085743C" w:rsidRDefault="0085743C" w:rsidP="0085743C">
      <w:pPr>
        <w:spacing w:after="0"/>
      </w:pPr>
    </w:p>
    <w:p w14:paraId="76058B53" w14:textId="77777777" w:rsidR="0085743C" w:rsidRDefault="0085743C" w:rsidP="0085743C">
      <w:pPr>
        <w:spacing w:after="0"/>
      </w:pPr>
      <w:r>
        <w:t>Notes:</w:t>
      </w:r>
    </w:p>
    <w:p w14:paraId="4DBEF4F9" w14:textId="77777777" w:rsidR="0085743C" w:rsidRDefault="0085743C" w:rsidP="0085743C">
      <w:pPr>
        <w:spacing w:after="0"/>
      </w:pPr>
    </w:p>
    <w:p w14:paraId="31C8DE2F" w14:textId="77777777" w:rsidR="0085743C" w:rsidRDefault="0085743C" w:rsidP="0085743C">
      <w:pPr>
        <w:spacing w:after="0"/>
      </w:pPr>
    </w:p>
    <w:p w14:paraId="02006FDE" w14:textId="77777777" w:rsidR="0085743C" w:rsidRDefault="0085743C" w:rsidP="008574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743C" w14:paraId="19290AD9" w14:textId="77777777" w:rsidTr="003F5FAC">
        <w:trPr>
          <w:trHeight w:val="345"/>
        </w:trPr>
        <w:tc>
          <w:tcPr>
            <w:tcW w:w="3192" w:type="dxa"/>
            <w:vMerge w:val="restart"/>
          </w:tcPr>
          <w:p w14:paraId="65D0535D" w14:textId="77777777" w:rsidR="0085743C" w:rsidRPr="008D68D5" w:rsidRDefault="0085743C" w:rsidP="003F5FAC">
            <w:pPr>
              <w:rPr>
                <w:sz w:val="40"/>
                <w:szCs w:val="40"/>
              </w:rPr>
            </w:pPr>
            <w:r w:rsidRPr="008D68D5">
              <w:rPr>
                <w:sz w:val="40"/>
                <w:szCs w:val="40"/>
              </w:rPr>
              <w:t>Season Three</w:t>
            </w:r>
          </w:p>
          <w:p w14:paraId="041B0E14" w14:textId="77777777" w:rsidR="0085743C" w:rsidRDefault="0085743C" w:rsidP="003F5FAC"/>
        </w:tc>
        <w:tc>
          <w:tcPr>
            <w:tcW w:w="3192" w:type="dxa"/>
          </w:tcPr>
          <w:p w14:paraId="1CF7BFFA" w14:textId="77777777" w:rsidR="0085743C" w:rsidRDefault="0085743C" w:rsidP="003F5FAC">
            <w:r>
              <w:t>Catch</w:t>
            </w:r>
          </w:p>
        </w:tc>
        <w:tc>
          <w:tcPr>
            <w:tcW w:w="3192" w:type="dxa"/>
          </w:tcPr>
          <w:p w14:paraId="678CA1D3" w14:textId="77777777" w:rsidR="0085743C" w:rsidRDefault="0085743C" w:rsidP="003F5FAC"/>
        </w:tc>
      </w:tr>
      <w:tr w:rsidR="0085743C" w14:paraId="455A30BB" w14:textId="77777777" w:rsidTr="003F5FAC">
        <w:tc>
          <w:tcPr>
            <w:tcW w:w="3192" w:type="dxa"/>
            <w:vMerge/>
          </w:tcPr>
          <w:p w14:paraId="5691EF96" w14:textId="77777777" w:rsidR="0085743C" w:rsidRDefault="0085743C" w:rsidP="003F5FAC"/>
        </w:tc>
        <w:tc>
          <w:tcPr>
            <w:tcW w:w="3192" w:type="dxa"/>
          </w:tcPr>
          <w:p w14:paraId="37A135A5" w14:textId="77777777" w:rsidR="0085743C" w:rsidRDefault="0085743C" w:rsidP="003F5FAC">
            <w:r>
              <w:t>Remaining Fish</w:t>
            </w:r>
          </w:p>
        </w:tc>
        <w:tc>
          <w:tcPr>
            <w:tcW w:w="3192" w:type="dxa"/>
          </w:tcPr>
          <w:p w14:paraId="3E93C0DA" w14:textId="77777777" w:rsidR="0085743C" w:rsidRDefault="0085743C" w:rsidP="003F5FAC"/>
        </w:tc>
      </w:tr>
    </w:tbl>
    <w:p w14:paraId="300C3EFD" w14:textId="77777777" w:rsidR="0085743C" w:rsidRDefault="0085743C" w:rsidP="0085743C">
      <w:pPr>
        <w:spacing w:after="0"/>
      </w:pPr>
    </w:p>
    <w:p w14:paraId="60D94D92" w14:textId="77777777" w:rsidR="0085743C" w:rsidRDefault="0085743C" w:rsidP="0085743C">
      <w:pPr>
        <w:spacing w:after="0"/>
      </w:pPr>
      <w:r>
        <w:t>Notes:</w:t>
      </w:r>
    </w:p>
    <w:p w14:paraId="0B81B5D4" w14:textId="77777777" w:rsidR="0085743C" w:rsidRDefault="0085743C" w:rsidP="0085743C">
      <w:pPr>
        <w:spacing w:after="0"/>
      </w:pPr>
    </w:p>
    <w:p w14:paraId="0A294D0D" w14:textId="77777777" w:rsidR="0085743C" w:rsidRDefault="0085743C" w:rsidP="0085743C">
      <w:pPr>
        <w:spacing w:after="0"/>
      </w:pPr>
    </w:p>
    <w:p w14:paraId="6D7DA6B0" w14:textId="77777777" w:rsidR="0085743C" w:rsidRDefault="0085743C" w:rsidP="008574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743C" w14:paraId="71C68E45" w14:textId="77777777" w:rsidTr="003F5FAC">
        <w:trPr>
          <w:trHeight w:val="303"/>
        </w:trPr>
        <w:tc>
          <w:tcPr>
            <w:tcW w:w="3192" w:type="dxa"/>
            <w:vMerge w:val="restart"/>
          </w:tcPr>
          <w:p w14:paraId="0870AC45" w14:textId="77777777" w:rsidR="0085743C" w:rsidRPr="008D68D5" w:rsidRDefault="0085743C" w:rsidP="003F5FAC">
            <w:pPr>
              <w:rPr>
                <w:sz w:val="40"/>
                <w:szCs w:val="40"/>
              </w:rPr>
            </w:pPr>
            <w:r w:rsidRPr="008D68D5">
              <w:rPr>
                <w:sz w:val="40"/>
                <w:szCs w:val="40"/>
              </w:rPr>
              <w:t>Season Four</w:t>
            </w:r>
          </w:p>
          <w:p w14:paraId="658D9022" w14:textId="77777777" w:rsidR="0085743C" w:rsidRDefault="0085743C" w:rsidP="003F5FAC"/>
        </w:tc>
        <w:tc>
          <w:tcPr>
            <w:tcW w:w="3192" w:type="dxa"/>
          </w:tcPr>
          <w:p w14:paraId="02DF439E" w14:textId="77777777" w:rsidR="0085743C" w:rsidRDefault="0085743C" w:rsidP="003F5FAC">
            <w:r>
              <w:t>Catch</w:t>
            </w:r>
          </w:p>
        </w:tc>
        <w:tc>
          <w:tcPr>
            <w:tcW w:w="3192" w:type="dxa"/>
          </w:tcPr>
          <w:p w14:paraId="4A31C104" w14:textId="77777777" w:rsidR="0085743C" w:rsidRDefault="0085743C" w:rsidP="003F5FAC"/>
        </w:tc>
      </w:tr>
      <w:tr w:rsidR="0085743C" w14:paraId="3C7893FF" w14:textId="77777777" w:rsidTr="003F5FAC">
        <w:tc>
          <w:tcPr>
            <w:tcW w:w="3192" w:type="dxa"/>
            <w:vMerge/>
          </w:tcPr>
          <w:p w14:paraId="694CD969" w14:textId="77777777" w:rsidR="0085743C" w:rsidRDefault="0085743C" w:rsidP="003F5FAC"/>
        </w:tc>
        <w:tc>
          <w:tcPr>
            <w:tcW w:w="3192" w:type="dxa"/>
          </w:tcPr>
          <w:p w14:paraId="443D8429" w14:textId="77777777" w:rsidR="0085743C" w:rsidRDefault="0085743C" w:rsidP="003F5FAC">
            <w:r>
              <w:t>Remaining Fish</w:t>
            </w:r>
          </w:p>
        </w:tc>
        <w:tc>
          <w:tcPr>
            <w:tcW w:w="3192" w:type="dxa"/>
          </w:tcPr>
          <w:p w14:paraId="0703EBC5" w14:textId="77777777" w:rsidR="0085743C" w:rsidRDefault="0085743C" w:rsidP="003F5FAC"/>
        </w:tc>
      </w:tr>
    </w:tbl>
    <w:p w14:paraId="78D276A6" w14:textId="77777777" w:rsidR="0085743C" w:rsidRDefault="0085743C" w:rsidP="0085743C">
      <w:pPr>
        <w:spacing w:after="0"/>
      </w:pPr>
    </w:p>
    <w:p w14:paraId="3D1EB66A" w14:textId="77777777" w:rsidR="0085743C" w:rsidRDefault="0085743C" w:rsidP="0085743C">
      <w:pPr>
        <w:spacing w:after="0"/>
      </w:pPr>
      <w:r>
        <w:t>Notes:</w:t>
      </w:r>
    </w:p>
    <w:p w14:paraId="096BB83E" w14:textId="77777777" w:rsidR="00C47F14" w:rsidRDefault="00C47F14" w:rsidP="009D0A45">
      <w:pPr>
        <w:spacing w:after="0"/>
      </w:pPr>
    </w:p>
    <w:sectPr w:rsidR="00C47F1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B079E" w14:textId="77777777" w:rsidR="00AD7063" w:rsidRDefault="00AD7063" w:rsidP="00C47F14">
      <w:pPr>
        <w:spacing w:after="0" w:line="240" w:lineRule="auto"/>
      </w:pPr>
      <w:r>
        <w:separator/>
      </w:r>
    </w:p>
  </w:endnote>
  <w:endnote w:type="continuationSeparator" w:id="0">
    <w:p w14:paraId="284C6904" w14:textId="77777777" w:rsidR="00AD7063" w:rsidRDefault="00AD7063" w:rsidP="00C4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804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62894" w14:textId="679B19FE" w:rsidR="00EC0151" w:rsidRDefault="00EC01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F3499" w14:textId="77777777" w:rsidR="00EC0151" w:rsidRDefault="00EC0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85C2C" w14:textId="77777777" w:rsidR="00AD7063" w:rsidRDefault="00AD7063" w:rsidP="00C47F14">
      <w:pPr>
        <w:spacing w:after="0" w:line="240" w:lineRule="auto"/>
      </w:pPr>
      <w:r>
        <w:separator/>
      </w:r>
    </w:p>
  </w:footnote>
  <w:footnote w:type="continuationSeparator" w:id="0">
    <w:p w14:paraId="6D93A5AA" w14:textId="77777777" w:rsidR="00AD7063" w:rsidRDefault="00AD7063" w:rsidP="00C4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18"/>
      <w:gridCol w:w="2072"/>
    </w:tblGrid>
    <w:tr w:rsidR="009D0A45" w14:paraId="40DDC576" w14:textId="77777777" w:rsidTr="009D0A45">
      <w:trPr>
        <w:trHeight w:val="288"/>
      </w:trPr>
      <w:tc>
        <w:tcPr>
          <w:tcW w:w="7518" w:type="dxa"/>
          <w:vAlign w:val="center"/>
        </w:tcPr>
        <w:p w14:paraId="3A6C7F62" w14:textId="77777777" w:rsidR="009D0A45" w:rsidRPr="009D0A45" w:rsidRDefault="009D0A45" w:rsidP="009D0A45">
          <w:pPr>
            <w:pStyle w:val="Header"/>
            <w:jc w:val="right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Sustainable Fisheries</w:t>
          </w:r>
        </w:p>
      </w:tc>
      <w:tc>
        <w:tcPr>
          <w:tcW w:w="2072" w:type="dxa"/>
        </w:tcPr>
        <w:p w14:paraId="6F5F94D6" w14:textId="77777777" w:rsidR="009D0A45" w:rsidRPr="009D0A45" w:rsidRDefault="009D0A45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2"/>
              <w:szCs w:val="12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en-CA"/>
            </w:rPr>
            <w:drawing>
              <wp:anchor distT="0" distB="0" distL="114300" distR="114300" simplePos="0" relativeHeight="251656704" behindDoc="0" locked="0" layoutInCell="1" allowOverlap="1" wp14:anchorId="0ED7924C" wp14:editId="7F1415FE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1169670" cy="56197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RRA_logo_-_high_res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ED131E" w14:textId="77777777" w:rsidR="009D0A45" w:rsidRDefault="009D0A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22A"/>
    <w:multiLevelType w:val="hybridMultilevel"/>
    <w:tmpl w:val="7C9CF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325"/>
    <w:multiLevelType w:val="hybridMultilevel"/>
    <w:tmpl w:val="378A2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61F2"/>
    <w:multiLevelType w:val="hybridMultilevel"/>
    <w:tmpl w:val="81A8A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0F70"/>
    <w:multiLevelType w:val="hybridMultilevel"/>
    <w:tmpl w:val="CB76EB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65E72"/>
    <w:multiLevelType w:val="hybridMultilevel"/>
    <w:tmpl w:val="29A29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6C"/>
    <w:rsid w:val="00097B23"/>
    <w:rsid w:val="001A0194"/>
    <w:rsid w:val="001A13EC"/>
    <w:rsid w:val="001E2180"/>
    <w:rsid w:val="0020329F"/>
    <w:rsid w:val="00220C61"/>
    <w:rsid w:val="002D7762"/>
    <w:rsid w:val="002F4133"/>
    <w:rsid w:val="00301345"/>
    <w:rsid w:val="0035425C"/>
    <w:rsid w:val="00377B54"/>
    <w:rsid w:val="00385BD3"/>
    <w:rsid w:val="003E0C78"/>
    <w:rsid w:val="00421B6C"/>
    <w:rsid w:val="00461109"/>
    <w:rsid w:val="004A1EEE"/>
    <w:rsid w:val="004C5AAF"/>
    <w:rsid w:val="004D297C"/>
    <w:rsid w:val="00527203"/>
    <w:rsid w:val="005F55BA"/>
    <w:rsid w:val="00682EE6"/>
    <w:rsid w:val="006E7612"/>
    <w:rsid w:val="007800AB"/>
    <w:rsid w:val="007E1879"/>
    <w:rsid w:val="00843403"/>
    <w:rsid w:val="0085743C"/>
    <w:rsid w:val="00881470"/>
    <w:rsid w:val="008A15D2"/>
    <w:rsid w:val="008A77D3"/>
    <w:rsid w:val="008C026C"/>
    <w:rsid w:val="009171A4"/>
    <w:rsid w:val="00992464"/>
    <w:rsid w:val="009C033A"/>
    <w:rsid w:val="009D0A45"/>
    <w:rsid w:val="00A55A84"/>
    <w:rsid w:val="00AD7063"/>
    <w:rsid w:val="00B20BD4"/>
    <w:rsid w:val="00B3567F"/>
    <w:rsid w:val="00B80D5F"/>
    <w:rsid w:val="00BA5233"/>
    <w:rsid w:val="00BB5DA7"/>
    <w:rsid w:val="00BE6A42"/>
    <w:rsid w:val="00C47F14"/>
    <w:rsid w:val="00C51288"/>
    <w:rsid w:val="00CB7921"/>
    <w:rsid w:val="00D31C26"/>
    <w:rsid w:val="00D643EB"/>
    <w:rsid w:val="00D93C3B"/>
    <w:rsid w:val="00E114D4"/>
    <w:rsid w:val="00E971FF"/>
    <w:rsid w:val="00EC0151"/>
    <w:rsid w:val="00EC4998"/>
    <w:rsid w:val="00EC69E3"/>
    <w:rsid w:val="00EE11D7"/>
    <w:rsid w:val="00F03C73"/>
    <w:rsid w:val="00F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8D7A"/>
  <w15:docId w15:val="{586B1275-0971-481F-8611-464A8E5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6C"/>
    <w:pPr>
      <w:ind w:left="720"/>
      <w:contextualSpacing/>
    </w:pPr>
  </w:style>
  <w:style w:type="table" w:styleId="TableGrid">
    <w:name w:val="Table Grid"/>
    <w:basedOn w:val="TableNormal"/>
    <w:uiPriority w:val="59"/>
    <w:rsid w:val="00EE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14"/>
  </w:style>
  <w:style w:type="paragraph" w:styleId="Footer">
    <w:name w:val="footer"/>
    <w:basedOn w:val="Normal"/>
    <w:link w:val="FooterChar"/>
    <w:uiPriority w:val="99"/>
    <w:unhideWhenUsed/>
    <w:rsid w:val="00C4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14"/>
  </w:style>
  <w:style w:type="paragraph" w:styleId="BalloonText">
    <w:name w:val="Balloon Text"/>
    <w:basedOn w:val="Normal"/>
    <w:link w:val="BalloonTextChar"/>
    <w:uiPriority w:val="99"/>
    <w:semiHidden/>
    <w:unhideWhenUsed/>
    <w:rsid w:val="009D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C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7331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40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886">
                      <w:marLeft w:val="75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6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72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dashed" w:sz="2" w:space="0" w:color="BBBBBB"/>
                                <w:left w:val="dashed" w:sz="2" w:space="0" w:color="BBBBBB"/>
                                <w:bottom w:val="dashed" w:sz="2" w:space="0" w:color="BBBBBB"/>
                                <w:right w:val="dashed" w:sz="2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nl.ca/edu/k12/curriculum/guides/science/sci1206/unit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rra.ca/presentation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A2EE-AA2E-4C66-8B24-FEAD8D22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Rocks</dc:creator>
  <cp:lastModifiedBy>allison eaton</cp:lastModifiedBy>
  <cp:revision>34</cp:revision>
  <dcterms:created xsi:type="dcterms:W3CDTF">2013-01-31T16:16:00Z</dcterms:created>
  <dcterms:modified xsi:type="dcterms:W3CDTF">2013-07-26T12:31:00Z</dcterms:modified>
</cp:coreProperties>
</file>